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2" w:rsidRDefault="00F85B72" w:rsidP="00F85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</w:pPr>
      <w:r w:rsidRPr="00F85B72"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  <w:t>Брак</w:t>
      </w:r>
      <w:r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  <w:t xml:space="preserve"> И ТАИНСТВО </w:t>
      </w:r>
    </w:p>
    <w:p w:rsidR="00F85B72" w:rsidRPr="00F85B72" w:rsidRDefault="00F85B72" w:rsidP="00F85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  <w:t>ВЕНЧАНИЯ</w:t>
      </w:r>
    </w:p>
    <w:p w:rsidR="00F85B72" w:rsidRPr="00F85B72" w:rsidRDefault="00F85B72" w:rsidP="00F85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16"/>
          <w:szCs w:val="16"/>
          <w:lang w:eastAsia="ru-RU"/>
        </w:rPr>
      </w:pP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между мужчиной и женщиной является одной из важных тем 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библейского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благовестия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говорит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Бог в Книге Бытия, "оставит человек отца своего и мать свою и прилепится к жене своей; и будут двое одна плоть" (</w:t>
      </w:r>
      <w:hyperlink r:id="rId5" w:tgtFrame="_blank" w:history="1">
        <w:r w:rsidRPr="005D3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Быт. 2:24</w:t>
        </w:r>
      </w:hyperlink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установлен Богом в раю, он не является последствием грехопадения. Библия повествует о супружески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парах, на которых было особое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благословение Божье, выразившееся в умножении их потомства: Авраам и Сарра, Исаак и 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Ревекка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Иаков и Рахиль. </w:t>
      </w: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чудом Христа было претворение воды в вино на браке в Кане Галилейской, что понимается святоотеческой традицией как благословение брачного союза</w:t>
      </w:r>
      <w:bookmarkStart w:id="0" w:name="01"/>
      <w:bookmarkEnd w:id="0"/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известны секты (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монтанизм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манихейство и др.), отвергавшие брак как якобы противоречащий аскетическим идеалам христианства. Даже в наше время приходится иногда услышать мнение, будто христианство гнушается браком и "допускает" брачный союз мужчины и женщины только из "снисхождения к немощам плоти". 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это мнение неверно и основано на незнании церковной традиции.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о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суждая "плотскую похоть", гедонизм, ведущие к половой распущенности и противоестественным порокам</w:t>
      </w:r>
      <w:r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она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благословляет половое общение между мужчиной и женщиной в рамках брачного союза.</w:t>
      </w: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браке происходит преображение человека, преодоление одиночества и замкнутости, расширение, восполнение и завершение его личности. Протоиерей Иоанн 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Мейендорф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определяет сущность христианского брака: "Христианин призван – уже в этом мире – иметь опыт новой жизни, стать гражданином Царства; и это возможно для него в браке. Таким образом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 перестает быть только лишь удовлетворением временных естественных побуждений... Брак – это уникальный союз двух существ в любви, двух существ, которые могут превзойти свою собственную человеческую природу и быть соединенными не только "друг с другом", но и "во Христе"".</w:t>
      </w:r>
      <w:bookmarkStart w:id="1" w:name="04"/>
      <w:bookmarkEnd w:id="1"/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Придавая такое исключ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 высокое значение браку,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отрицательно относится к разводу, а также второму или третьему браку, если последние не вызваны особыми обстоятельствами, как, например, нарушением супружеской верности той или другой стороной.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отношение основано на учении Христа, Который не признавал ветхозаветных установлений касательно развода за одним исключением – развода по "вине любодеяния" (</w:t>
      </w:r>
      <w:hyperlink r:id="rId6" w:tgtFrame="_blank" w:history="1">
        <w:r w:rsidRPr="005D3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Мф. 5:32</w:t>
        </w:r>
      </w:hyperlink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последнем случае, а также в случае смерти одного из супругов или в других исключительных случаях Церковь благословляет второй и третий брак.</w:t>
      </w: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раннехристианской Церкви не существовало особого чина венчания: муж и жена приходили к епископу и получали его благословение, после чего вдвоем причащались за Литургией Святых Христовых Таин. Эта связь с Евхаристией прослеживается и 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чинопоследовании</w:t>
      </w:r>
      <w:proofErr w:type="spellEnd"/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аинства Брака, начинающегося литургическим возгласом "Благословенно Царство" и включающего в себя многие молитвы из чина Литургии, чтение Апостола и Евангелия, символическую общую чашу вина.</w:t>
      </w: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Венчание предваряется обручением, во время которого жених и невеста должны засвидетельствовать добровольный характер своего вступления в брак и обменяться кольцами.</w:t>
      </w:r>
    </w:p>
    <w:p w:rsidR="00F85B72" w:rsidRPr="005D3A67" w:rsidRDefault="00F85B72" w:rsidP="00F8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венчание происходит в церкви, как правило, после Литургии. На 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брачующихся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таинства возлагаются венцы, которые являются символом царства: каждая семья есть малая церковь. Но венец также и символ мученичества, потому что брак – не только радость первых месяцев после свадьбы, но и совместное несение всех последующих скорбей и страданий – того ежедневного креста, тяжесть которого в браке ложится на двоих. 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век, когда распад семьи стал обычным явлением и при первых же трудностях и испытаниях супруги готовы предать друг друга и разорвать свой союз, это возложение мученических венцов служит напоминанием о том, что брак только тогда 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прочным, когда он основан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сиюминутной и скоропреходящей страсти, а на готовности отдать жизнь за другого.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семья бывает домом, построенным на твердом основании, а не на песке, только в том случае, если ее краеугольным камнем становится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Христос. О страдании и кресте напоминает также тропарь "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Святии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мученицы", который поется во время троекратного обхождения жениха и невесты вокруг аналоя.</w:t>
      </w:r>
    </w:p>
    <w:p w:rsidR="00E34947" w:rsidRPr="00F85B72" w:rsidRDefault="00F85B72" w:rsidP="005D3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венчания читается евангельский рассказ о браке в Кане Галилейской. Этим чтением подчеркивается незримое присутствие Христа на всяком христианском браке и благословение самим Богом брачного союза. В браке должно совершиться чудо </w:t>
      </w:r>
      <w:proofErr w:type="spell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преложения</w:t>
      </w:r>
      <w:proofErr w:type="spell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т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будней земной жизни</w:t>
      </w:r>
      <w:proofErr w:type="gramEnd"/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вино – непрестанный и ежедневный праздник, 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торжество взаимной </w:t>
      </w:r>
      <w:r w:rsidRPr="00F8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одного человека к другому.</w:t>
      </w:r>
      <w:bookmarkStart w:id="2" w:name="_GoBack"/>
      <w:bookmarkEnd w:id="2"/>
    </w:p>
    <w:sectPr w:rsidR="00E34947" w:rsidRPr="00F85B72" w:rsidSect="00465D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4B"/>
    <w:rsid w:val="00465D10"/>
    <w:rsid w:val="005D3A67"/>
    <w:rsid w:val="00BE574B"/>
    <w:rsid w:val="00E34947"/>
    <w:rsid w:val="00F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yka.ru/biblia/?Mt.5:32" TargetMode="External"/><Relationship Id="rId5" Type="http://schemas.openxmlformats.org/officeDocument/2006/relationships/hyperlink" Target="http://azbyka.ru/biblia/?Gen.2: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Брак И ТАИНСТВО </vt:lpstr>
      <vt:lpstr>ВЕНЧАНИЯ</vt:lpstr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2013-10-11T04:29:00Z</dcterms:created>
  <dcterms:modified xsi:type="dcterms:W3CDTF">2013-10-31T17:50:00Z</dcterms:modified>
</cp:coreProperties>
</file>